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6615F" w14:textId="77777777" w:rsidR="003F00A9" w:rsidRPr="003F00A9" w:rsidRDefault="003F00A9" w:rsidP="003F00A9">
      <w:pPr>
        <w:spacing w:before="100" w:beforeAutospacing="1" w:after="100" w:afterAutospacing="1" w:line="360" w:lineRule="auto"/>
        <w:jc w:val="center"/>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Advocate–Client Confidentiality Does Not End When the Case Ends: Supreme Court Reinforces Professional Duties</w:t>
      </w:r>
    </w:p>
    <w:p w14:paraId="3C326E2D" w14:textId="77777777" w:rsidR="003F00A9" w:rsidRPr="003F00A9" w:rsidRDefault="003F00A9" w:rsidP="003F00A9">
      <w:pPr>
        <w:spacing w:before="100" w:beforeAutospacing="1" w:after="100" w:afterAutospacing="1" w:line="360" w:lineRule="auto"/>
        <w:jc w:val="center"/>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What the Supreme Court’s latest ruling means for lawyers, clients and the handling of confidential information</w:t>
      </w:r>
    </w:p>
    <w:p w14:paraId="75B98711"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relationship between an advocate and client is built on trust. Clients routinely disclose information to their lawyers that they would not ordinarily share with anyone else—personal communications, business records, litigation strategy, documents, negotiations and other sensitive information.</w:t>
      </w:r>
    </w:p>
    <w:p w14:paraId="697F856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But what happens when the professional relationship ends? What if the former client subsequently becomes an adversary of the advocate? Can the advocate then disclose confidential information to defend themselves publicly?</w:t>
      </w:r>
    </w:p>
    <w:p w14:paraId="5C2D5506"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Supreme Court has recently answered this question emphatically: </w:t>
      </w:r>
      <w:r w:rsidRPr="003F00A9">
        <w:rPr>
          <w:rFonts w:ascii="Bookman Old Style" w:eastAsia="Times New Roman" w:hAnsi="Bookman Old Style" w:cs="Times New Roman"/>
          <w:b/>
          <w:bCs/>
          <w:kern w:val="0"/>
          <w:sz w:val="20"/>
          <w:szCs w:val="20"/>
          <w:lang w:eastAsia="en-GB"/>
          <w14:ligatures w14:val="none"/>
        </w:rPr>
        <w:t>the duty of confidentiality does not simply disappear when the advocate–client relationship ends.</w:t>
      </w:r>
    </w:p>
    <w:p w14:paraId="52239F25" w14:textId="69B964BF"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In </w:t>
      </w:r>
      <w:r w:rsidRPr="003F00A9">
        <w:rPr>
          <w:rFonts w:ascii="Bookman Old Style" w:eastAsia="Times New Roman" w:hAnsi="Bookman Old Style" w:cs="Times New Roman"/>
          <w:b/>
          <w:bCs/>
          <w:i/>
          <w:iCs/>
          <w:kern w:val="0"/>
          <w:sz w:val="20"/>
          <w:szCs w:val="20"/>
          <w:lang w:eastAsia="en-GB"/>
          <w14:ligatures w14:val="none"/>
        </w:rPr>
        <w:t>Rehana Khan v. Rizwan Siddhiquee &amp; Connected Matters</w:t>
      </w:r>
      <w:r w:rsidRPr="003F00A9">
        <w:rPr>
          <w:rFonts w:ascii="Bookman Old Style" w:eastAsia="Times New Roman" w:hAnsi="Bookman Old Style" w:cs="Times New Roman"/>
          <w:kern w:val="0"/>
          <w:sz w:val="20"/>
          <w:szCs w:val="20"/>
          <w:lang w:eastAsia="en-GB"/>
          <w14:ligatures w14:val="none"/>
        </w:rPr>
        <w:t xml:space="preserve">, decided on </w:t>
      </w:r>
      <w:r w:rsidRPr="003F00A9">
        <w:rPr>
          <w:rFonts w:ascii="Bookman Old Style" w:eastAsia="Times New Roman" w:hAnsi="Bookman Old Style" w:cs="Times New Roman"/>
          <w:b/>
          <w:bCs/>
          <w:kern w:val="0"/>
          <w:sz w:val="20"/>
          <w:szCs w:val="20"/>
          <w:lang w:eastAsia="en-GB"/>
          <w14:ligatures w14:val="none"/>
        </w:rPr>
        <w:t>21 August 2026</w:t>
      </w:r>
      <w:r w:rsidRPr="003F00A9">
        <w:rPr>
          <w:rFonts w:ascii="Bookman Old Style" w:eastAsia="Times New Roman" w:hAnsi="Bookman Old Style" w:cs="Times New Roman"/>
          <w:kern w:val="0"/>
          <w:sz w:val="20"/>
          <w:szCs w:val="20"/>
          <w:lang w:eastAsia="en-GB"/>
          <w14:ligatures w14:val="none"/>
        </w:rPr>
        <w:t xml:space="preserve">, a three-judge Bench comprising Justice Vikram Nath, Justice Sandeep Mehta and Justice Vijay Bishnoi upheld the </w:t>
      </w:r>
      <w:r w:rsidRPr="003F00A9">
        <w:rPr>
          <w:rFonts w:ascii="Bookman Old Style" w:eastAsia="Times New Roman" w:hAnsi="Bookman Old Style" w:cs="Times New Roman"/>
          <w:b/>
          <w:bCs/>
          <w:kern w:val="0"/>
          <w:sz w:val="20"/>
          <w:szCs w:val="20"/>
          <w:lang w:eastAsia="en-GB"/>
          <w14:ligatures w14:val="none"/>
        </w:rPr>
        <w:t>two-year suspension of an advocate</w:t>
      </w:r>
      <w:r w:rsidRPr="003F00A9">
        <w:rPr>
          <w:rFonts w:ascii="Bookman Old Style" w:eastAsia="Times New Roman" w:hAnsi="Bookman Old Style" w:cs="Times New Roman"/>
          <w:kern w:val="0"/>
          <w:sz w:val="20"/>
          <w:szCs w:val="20"/>
          <w:lang w:eastAsia="en-GB"/>
          <w14:ligatures w14:val="none"/>
        </w:rPr>
        <w:t xml:space="preserve"> for disclosing confidential information relating to a former client during television interviews. The Court treated the disclosure as professional misconduct under Section 35 of the Advocates Act, 1961. </w:t>
      </w:r>
    </w:p>
    <w:p w14:paraId="18895389" w14:textId="29673916"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ruling carries an important message not only for members of the legal profession, but also for clients and businesses that routinely share sensitive information with their lawyers.</w:t>
      </w:r>
    </w:p>
    <w:p w14:paraId="675673A0" w14:textId="77777777" w:rsidR="003F00A9" w:rsidRPr="003F00A9" w:rsidRDefault="003F00A9" w:rsidP="003F00A9">
      <w:pPr>
        <w:spacing w:before="100" w:beforeAutospacing="1" w:after="100" w:afterAutospacing="1" w:line="360" w:lineRule="auto"/>
        <w:jc w:val="both"/>
        <w:outlineLvl w:val="1"/>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What Was the Case About?</w:t>
      </w:r>
    </w:p>
    <w:p w14:paraId="7A9EBE8D"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dispute arose from the professional relationship between a former client and her advocate.</w:t>
      </w:r>
    </w:p>
    <w:p w14:paraId="370129F9"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appellant had engaged the advocate during </w:t>
      </w:r>
      <w:r w:rsidRPr="003F00A9">
        <w:rPr>
          <w:rFonts w:ascii="Bookman Old Style" w:eastAsia="Times New Roman" w:hAnsi="Bookman Old Style" w:cs="Times New Roman"/>
          <w:b/>
          <w:bCs/>
          <w:kern w:val="0"/>
          <w:sz w:val="20"/>
          <w:szCs w:val="20"/>
          <w:lang w:eastAsia="en-GB"/>
          <w14:ligatures w14:val="none"/>
        </w:rPr>
        <w:t>2013–2014</w:t>
      </w:r>
      <w:r w:rsidRPr="003F00A9">
        <w:rPr>
          <w:rFonts w:ascii="Bookman Old Style" w:eastAsia="Times New Roman" w:hAnsi="Bookman Old Style" w:cs="Times New Roman"/>
          <w:kern w:val="0"/>
          <w:sz w:val="20"/>
          <w:szCs w:val="20"/>
          <w:lang w:eastAsia="en-GB"/>
          <w14:ligatures w14:val="none"/>
        </w:rPr>
        <w:t xml:space="preserve"> in connection with allegations involving a senior police official. During the course of that </w:t>
      </w:r>
      <w:r w:rsidRPr="003F00A9">
        <w:rPr>
          <w:rFonts w:ascii="Bookman Old Style" w:eastAsia="Times New Roman" w:hAnsi="Bookman Old Style" w:cs="Times New Roman"/>
          <w:kern w:val="0"/>
          <w:sz w:val="20"/>
          <w:szCs w:val="20"/>
          <w:lang w:eastAsia="en-GB"/>
          <w14:ligatures w14:val="none"/>
        </w:rPr>
        <w:lastRenderedPageBreak/>
        <w:t>professional engagement, communications and other sensitive information were exchanged between the client and advocate.</w:t>
      </w:r>
    </w:p>
    <w:p w14:paraId="42B40DF3"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relationship subsequently deteriorated.</w:t>
      </w:r>
    </w:p>
    <w:p w14:paraId="1087EA9D" w14:textId="1EE3CD34"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In 2014, the advocate appeared in television interviews and discussed matters concerning the former client. The proceedings before the Supreme Court recorded that conversations and material relating to the professional relationship were publicly disclosed, including recorded communications and messaging exchanges. </w:t>
      </w:r>
    </w:p>
    <w:p w14:paraId="49403983"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former client subsequently initiated disciplinary proceedings under </w:t>
      </w:r>
      <w:r w:rsidRPr="003F00A9">
        <w:rPr>
          <w:rFonts w:ascii="Bookman Old Style" w:eastAsia="Times New Roman" w:hAnsi="Bookman Old Style" w:cs="Times New Roman"/>
          <w:b/>
          <w:bCs/>
          <w:kern w:val="0"/>
          <w:sz w:val="20"/>
          <w:szCs w:val="20"/>
          <w:lang w:eastAsia="en-GB"/>
          <w14:ligatures w14:val="none"/>
        </w:rPr>
        <w:t>Section 35 of the Advocates Act, 1961</w:t>
      </w:r>
      <w:r w:rsidRPr="003F00A9">
        <w:rPr>
          <w:rFonts w:ascii="Bookman Old Style" w:eastAsia="Times New Roman" w:hAnsi="Bookman Old Style" w:cs="Times New Roman"/>
          <w:kern w:val="0"/>
          <w:sz w:val="20"/>
          <w:szCs w:val="20"/>
          <w:lang w:eastAsia="en-GB"/>
          <w14:ligatures w14:val="none"/>
        </w:rPr>
        <w:t>, alleging professional misconduct.</w:t>
      </w:r>
    </w:p>
    <w:p w14:paraId="3FEB446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Bar Council of India's Disciplinary Committee found the advocate guilty and ordered that his name be removed from the roll of advocates for </w:t>
      </w:r>
      <w:r w:rsidRPr="003F00A9">
        <w:rPr>
          <w:rFonts w:ascii="Bookman Old Style" w:eastAsia="Times New Roman" w:hAnsi="Bookman Old Style" w:cs="Times New Roman"/>
          <w:b/>
          <w:bCs/>
          <w:kern w:val="0"/>
          <w:sz w:val="20"/>
          <w:szCs w:val="20"/>
          <w:lang w:eastAsia="en-GB"/>
          <w14:ligatures w14:val="none"/>
        </w:rPr>
        <w:t>two years</w:t>
      </w:r>
      <w:r w:rsidRPr="003F00A9">
        <w:rPr>
          <w:rFonts w:ascii="Bookman Old Style" w:eastAsia="Times New Roman" w:hAnsi="Bookman Old Style" w:cs="Times New Roman"/>
          <w:kern w:val="0"/>
          <w:sz w:val="20"/>
          <w:szCs w:val="20"/>
          <w:lang w:eastAsia="en-GB"/>
          <w14:ligatures w14:val="none"/>
        </w:rPr>
        <w:t>, along with monetary directions.</w:t>
      </w:r>
    </w:p>
    <w:p w14:paraId="73C13A0C" w14:textId="4E2D3291"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matter eventually reached the Supreme Court.</w:t>
      </w:r>
    </w:p>
    <w:p w14:paraId="56DCC3E3"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The Supreme Court's Central Finding</w:t>
      </w:r>
    </w:p>
    <w:p w14:paraId="6E53BA19"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Court rejected the argument that the confidentiality obligation ceased because the professional relationship had already ended.</w:t>
      </w:r>
    </w:p>
    <w:p w14:paraId="1D173ABC"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Court held, in substance, that an advocate cannot take information received from a client in confidence and subsequently use that information against the client merely because the relationship has ended.</w:t>
      </w:r>
    </w:p>
    <w:p w14:paraId="1F34F61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Court also rejected the suggestion that becoming an adversary somehow removes the advocate's continuing obligation.</w:t>
      </w:r>
    </w:p>
    <w:p w14:paraId="4DD2C31A"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This is the key principle emerging from the judgment:</w:t>
      </w:r>
    </w:p>
    <w:p w14:paraId="29938CFF"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Confidential information obtained through the professional relationship cannot simply become available for public disclosure once the engagement ends.</w:t>
      </w:r>
    </w:p>
    <w:p w14:paraId="140526C0" w14:textId="2DC8CEE2"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Court specifically held that the advocate's duty was not dependent upon the former client's continued conduct towards the advocate.</w:t>
      </w:r>
    </w:p>
    <w:p w14:paraId="24AC59E3"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lastRenderedPageBreak/>
        <w:t>Why Is Confidentiality So Important?</w:t>
      </w:r>
    </w:p>
    <w:p w14:paraId="03010D8B"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Confidentiality is not merely a matter of professional courtesy.</w:t>
      </w:r>
    </w:p>
    <w:p w14:paraId="5A714A30"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It is fundamental to effective legal representation.</w:t>
      </w:r>
    </w:p>
    <w:p w14:paraId="4737F239"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client must be able to speak openly with their lawyer.</w:t>
      </w:r>
    </w:p>
    <w:p w14:paraId="48545CE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Consider a business involved in a commercial dispute. Its lawyers may have access to:</w:t>
      </w:r>
    </w:p>
    <w:p w14:paraId="677E09B3"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Internal emails;</w:t>
      </w:r>
    </w:p>
    <w:p w14:paraId="6946FFCD"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Financial records;</w:t>
      </w:r>
    </w:p>
    <w:p w14:paraId="63D04B44"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Unpublished agreements;</w:t>
      </w:r>
    </w:p>
    <w:p w14:paraId="48E449D7"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Negotiation strategies;</w:t>
      </w:r>
    </w:p>
    <w:p w14:paraId="78F1AAA6"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Settlement proposals;</w:t>
      </w:r>
    </w:p>
    <w:p w14:paraId="6A2C9192"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Trade information;</w:t>
      </w:r>
    </w:p>
    <w:p w14:paraId="4AD98433"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Employee information;</w:t>
      </w:r>
    </w:p>
    <w:p w14:paraId="15B18387"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Potential litigation risks;</w:t>
      </w:r>
    </w:p>
    <w:p w14:paraId="560F9434"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Evidence that has not yet been disclosed; and</w:t>
      </w:r>
    </w:p>
    <w:p w14:paraId="2EB577A4" w14:textId="77777777" w:rsidR="003F00A9" w:rsidRPr="003F00A9" w:rsidRDefault="003F00A9" w:rsidP="003F00A9">
      <w:pPr>
        <w:numPr>
          <w:ilvl w:val="0"/>
          <w:numId w:val="1"/>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Communications concerning the client's legal strategy.</w:t>
      </w:r>
    </w:p>
    <w:p w14:paraId="02BBA5E0"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If clients believed that such information could later be disclosed publicly whenever the professional relationship deteriorated, they might hesitate to communicate honestly with their lawyers.</w:t>
      </w:r>
    </w:p>
    <w:p w14:paraId="1FFDB79C" w14:textId="72186045"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That would ultimately undermine the ability of lawyers to provide effective legal advice.</w:t>
      </w:r>
    </w:p>
    <w:p w14:paraId="63798DCC"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The Duty Does Not Automatically End With Termination of the Engagement</w:t>
      </w:r>
    </w:p>
    <w:p w14:paraId="4941B8C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One of the most important practical lessons from the judgment is that </w:t>
      </w:r>
      <w:r w:rsidRPr="003F00A9">
        <w:rPr>
          <w:rFonts w:ascii="Bookman Old Style" w:eastAsia="Times New Roman" w:hAnsi="Bookman Old Style" w:cs="Times New Roman"/>
          <w:b/>
          <w:bCs/>
          <w:kern w:val="0"/>
          <w:sz w:val="20"/>
          <w:szCs w:val="20"/>
          <w:lang w:eastAsia="en-GB"/>
          <w14:ligatures w14:val="none"/>
        </w:rPr>
        <w:t>ending the retainer does not automatically end confidentiality</w:t>
      </w:r>
      <w:r w:rsidRPr="003F00A9">
        <w:rPr>
          <w:rFonts w:ascii="Bookman Old Style" w:eastAsia="Times New Roman" w:hAnsi="Bookman Old Style" w:cs="Times New Roman"/>
          <w:kern w:val="0"/>
          <w:sz w:val="20"/>
          <w:szCs w:val="20"/>
          <w:lang w:eastAsia="en-GB"/>
          <w14:ligatures w14:val="none"/>
        </w:rPr>
        <w:t>.</w:t>
      </w:r>
    </w:p>
    <w:p w14:paraId="795B8DAD"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client may:</w:t>
      </w:r>
    </w:p>
    <w:p w14:paraId="485713B1" w14:textId="77777777" w:rsidR="003F00A9" w:rsidRPr="003F00A9" w:rsidRDefault="003F00A9" w:rsidP="003F00A9">
      <w:pPr>
        <w:numPr>
          <w:ilvl w:val="0"/>
          <w:numId w:val="2"/>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Change lawyers;</w:t>
      </w:r>
    </w:p>
    <w:p w14:paraId="4F9B5214" w14:textId="77777777" w:rsidR="003F00A9" w:rsidRPr="003F00A9" w:rsidRDefault="003F00A9" w:rsidP="003F00A9">
      <w:pPr>
        <w:numPr>
          <w:ilvl w:val="0"/>
          <w:numId w:val="2"/>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Terminate the engagement;</w:t>
      </w:r>
    </w:p>
    <w:p w14:paraId="14A8AEDF" w14:textId="77777777" w:rsidR="003F00A9" w:rsidRPr="003F00A9" w:rsidRDefault="003F00A9" w:rsidP="003F00A9">
      <w:pPr>
        <w:numPr>
          <w:ilvl w:val="0"/>
          <w:numId w:val="2"/>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lastRenderedPageBreak/>
        <w:t>Become involved in a dispute with the former lawyer;</w:t>
      </w:r>
    </w:p>
    <w:p w14:paraId="2649602E" w14:textId="77777777" w:rsidR="003F00A9" w:rsidRPr="003F00A9" w:rsidRDefault="003F00A9" w:rsidP="003F00A9">
      <w:pPr>
        <w:numPr>
          <w:ilvl w:val="0"/>
          <w:numId w:val="2"/>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File a complaint against the lawyer; or</w:t>
      </w:r>
    </w:p>
    <w:p w14:paraId="67FB7CE8" w14:textId="77777777" w:rsidR="003F00A9" w:rsidRPr="003F00A9" w:rsidRDefault="003F00A9" w:rsidP="003F00A9">
      <w:pPr>
        <w:numPr>
          <w:ilvl w:val="0"/>
          <w:numId w:val="2"/>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Become an adversary of the lawyer.</w:t>
      </w:r>
    </w:p>
    <w:p w14:paraId="35F3B2F6"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None of these circumstances, by themselves, provide a general licence to disclose confidential information obtained during the professional relationship.</w:t>
      </w:r>
    </w:p>
    <w:p w14:paraId="7353D14F" w14:textId="3293A77C"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Supreme Court specifically rejected the proposition that the former client's subsequent conduct could justify disclosure of confidential information.</w:t>
      </w:r>
    </w:p>
    <w:p w14:paraId="7191BE21"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What If the Client Publicly Accuses the Lawyer?</w:t>
      </w:r>
    </w:p>
    <w:p w14:paraId="7F37F08B"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This is where the judgment becomes particularly important.</w:t>
      </w:r>
    </w:p>
    <w:p w14:paraId="20140EB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advocate had sought to justify the disclosures by referring to allegations made against him.</w:t>
      </w:r>
    </w:p>
    <w:p w14:paraId="3C864772" w14:textId="703AE804"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Supreme Court did not accept that public accusations gave him the right to disclose confidential communications obtained during the professional engagement. </w:t>
      </w:r>
    </w:p>
    <w:p w14:paraId="066FB1A4"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This does </w:t>
      </w:r>
      <w:r w:rsidRPr="003F00A9">
        <w:rPr>
          <w:rFonts w:ascii="Bookman Old Style" w:eastAsia="Times New Roman" w:hAnsi="Bookman Old Style" w:cs="Times New Roman"/>
          <w:b/>
          <w:bCs/>
          <w:kern w:val="0"/>
          <w:sz w:val="20"/>
          <w:szCs w:val="20"/>
          <w:lang w:eastAsia="en-GB"/>
          <w14:ligatures w14:val="none"/>
        </w:rPr>
        <w:t>not</w:t>
      </w:r>
      <w:r w:rsidRPr="003F00A9">
        <w:rPr>
          <w:rFonts w:ascii="Bookman Old Style" w:eastAsia="Times New Roman" w:hAnsi="Bookman Old Style" w:cs="Times New Roman"/>
          <w:kern w:val="0"/>
          <w:sz w:val="20"/>
          <w:szCs w:val="20"/>
          <w:lang w:eastAsia="en-GB"/>
          <w14:ligatures w14:val="none"/>
        </w:rPr>
        <w:t xml:space="preserve"> mean that an advocate has no legal remedy when false or defamatory allegations are made.</w:t>
      </w:r>
    </w:p>
    <w:p w14:paraId="05FE9029"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lawyer may have appropriate legal avenues to respond to allegations, depending upon the circumstances.</w:t>
      </w:r>
    </w:p>
    <w:p w14:paraId="11ED357C"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But the response cannot automatically involve exposing confidential information that the lawyer obtained because the person was a client.</w:t>
      </w:r>
    </w:p>
    <w:p w14:paraId="54299F8D"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In practical terms:</w:t>
      </w:r>
    </w:p>
    <w:p w14:paraId="72D110F0" w14:textId="16CFAD14"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Defending your reputation does not automatically authorise disclosure of your client's confidences.</w:t>
      </w:r>
    </w:p>
    <w:p w14:paraId="5983B6D4"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Professional Ethics and the Advocates Act</w:t>
      </w:r>
    </w:p>
    <w:p w14:paraId="2D09D59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lastRenderedPageBreak/>
        <w:t xml:space="preserve">The disciplinary proceedings were brought under </w:t>
      </w:r>
      <w:r w:rsidRPr="003F00A9">
        <w:rPr>
          <w:rFonts w:ascii="Bookman Old Style" w:eastAsia="Times New Roman" w:hAnsi="Bookman Old Style" w:cs="Times New Roman"/>
          <w:b/>
          <w:bCs/>
          <w:kern w:val="0"/>
          <w:sz w:val="20"/>
          <w:szCs w:val="20"/>
          <w:lang w:eastAsia="en-GB"/>
          <w14:ligatures w14:val="none"/>
        </w:rPr>
        <w:t>Section 35 of the Advocates Act, 1961</w:t>
      </w:r>
      <w:r w:rsidRPr="003F00A9">
        <w:rPr>
          <w:rFonts w:ascii="Bookman Old Style" w:eastAsia="Times New Roman" w:hAnsi="Bookman Old Style" w:cs="Times New Roman"/>
          <w:kern w:val="0"/>
          <w:sz w:val="20"/>
          <w:szCs w:val="20"/>
          <w:lang w:eastAsia="en-GB"/>
          <w14:ligatures w14:val="none"/>
        </w:rPr>
        <w:t>, which provides the framework for disciplinary action where an advocate is alleged to have committed professional misconduct or other misconduct.</w:t>
      </w:r>
    </w:p>
    <w:p w14:paraId="6D53848D"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Supreme Court ultimately upheld the disciplinary action against the advocate.</w:t>
      </w:r>
    </w:p>
    <w:p w14:paraId="381103B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This demonstrates that breach of professional obligations can have consequences extending beyond criticism or reputational damage.</w:t>
      </w:r>
    </w:p>
    <w:p w14:paraId="6C7C1A21" w14:textId="6B121A06"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Professional misconduct can result in formal disciplinary proceedings and restrictions on the advocate's ability to practise.</w:t>
      </w:r>
    </w:p>
    <w:p w14:paraId="700348C4"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What Was the Punishment?</w:t>
      </w:r>
    </w:p>
    <w:p w14:paraId="490B6CE1"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Bar Council of India's Disciplinary Committee had ordered removal of the advocate's name from the roll for </w:t>
      </w:r>
      <w:r w:rsidRPr="003F00A9">
        <w:rPr>
          <w:rFonts w:ascii="Bookman Old Style" w:eastAsia="Times New Roman" w:hAnsi="Bookman Old Style" w:cs="Times New Roman"/>
          <w:b/>
          <w:bCs/>
          <w:kern w:val="0"/>
          <w:sz w:val="20"/>
          <w:szCs w:val="20"/>
          <w:lang w:eastAsia="en-GB"/>
          <w14:ligatures w14:val="none"/>
        </w:rPr>
        <w:t>two years</w:t>
      </w:r>
      <w:r w:rsidRPr="003F00A9">
        <w:rPr>
          <w:rFonts w:ascii="Bookman Old Style" w:eastAsia="Times New Roman" w:hAnsi="Bookman Old Style" w:cs="Times New Roman"/>
          <w:kern w:val="0"/>
          <w:sz w:val="20"/>
          <w:szCs w:val="20"/>
          <w:lang w:eastAsia="en-GB"/>
          <w14:ligatures w14:val="none"/>
        </w:rPr>
        <w:t>, effectively suspending his ability to practise during that period.</w:t>
      </w:r>
    </w:p>
    <w:p w14:paraId="565CE04F" w14:textId="4E676B7E"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Supreme Court upheld that disciplinary order. </w:t>
      </w:r>
    </w:p>
    <w:p w14:paraId="4416181B"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Court also declined the former client's request for substantially enhanced punishment.</w:t>
      </w:r>
    </w:p>
    <w:p w14:paraId="1EA7A2BF" w14:textId="5C05A1EC"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Both parties had their conduct examined by the Court, and the Court ultimately directed </w:t>
      </w:r>
      <w:r w:rsidRPr="003F00A9">
        <w:rPr>
          <w:rFonts w:ascii="Bookman Old Style" w:eastAsia="Times New Roman" w:hAnsi="Bookman Old Style" w:cs="Times New Roman"/>
          <w:b/>
          <w:bCs/>
          <w:kern w:val="0"/>
          <w:sz w:val="20"/>
          <w:szCs w:val="20"/>
          <w:lang w:eastAsia="en-GB"/>
          <w14:ligatures w14:val="none"/>
        </w:rPr>
        <w:t xml:space="preserve">each party to pay </w:t>
      </w:r>
      <w:r w:rsidRPr="003F00A9">
        <w:rPr>
          <w:rFonts w:ascii="Times New Roman" w:eastAsia="Times New Roman" w:hAnsi="Times New Roman" w:cs="Times New Roman"/>
          <w:b/>
          <w:bCs/>
          <w:kern w:val="0"/>
          <w:sz w:val="20"/>
          <w:szCs w:val="20"/>
          <w:lang w:eastAsia="en-GB"/>
          <w14:ligatures w14:val="none"/>
        </w:rPr>
        <w:t>₹</w:t>
      </w:r>
      <w:r w:rsidRPr="003F00A9">
        <w:rPr>
          <w:rFonts w:ascii="Bookman Old Style" w:eastAsia="Times New Roman" w:hAnsi="Bookman Old Style" w:cs="Times New Roman"/>
          <w:b/>
          <w:bCs/>
          <w:kern w:val="0"/>
          <w:sz w:val="20"/>
          <w:szCs w:val="20"/>
          <w:lang w:eastAsia="en-GB"/>
          <w14:ligatures w14:val="none"/>
        </w:rPr>
        <w:t>5 lakh in costs to the Supreme Court Legal Services Committee</w:t>
      </w:r>
      <w:r>
        <w:rPr>
          <w:rFonts w:ascii="Bookman Old Style" w:eastAsia="Times New Roman" w:hAnsi="Bookman Old Style" w:cs="Times New Roman"/>
          <w:kern w:val="0"/>
          <w:sz w:val="20"/>
          <w:szCs w:val="20"/>
          <w:lang w:eastAsia="en-GB"/>
          <w14:ligatures w14:val="none"/>
        </w:rPr>
        <w:t>.</w:t>
      </w:r>
    </w:p>
    <w:p w14:paraId="4E6102C6" w14:textId="15A5CD61"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Court's treatment of both parties is significant: professional confidentiality was protected, but the Court also made clear that litigants seeking discretionary relief must themselves approach the Court candidly.</w:t>
      </w:r>
    </w:p>
    <w:p w14:paraId="7AB44DA1"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Confidentiality Is Different From Every Piece of Information a Lawyer Knows</w:t>
      </w:r>
    </w:p>
    <w:p w14:paraId="7213024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It is important not to oversimplify the judgment.</w:t>
      </w:r>
    </w:p>
    <w:p w14:paraId="5E4C956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Not every fact that a lawyer encounters automatically becomes confidential in precisely the same way.</w:t>
      </w:r>
    </w:p>
    <w:p w14:paraId="3B0C37E8"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lastRenderedPageBreak/>
        <w:t>The legal protection of communications must be assessed within the applicable statutory and professional framework.</w:t>
      </w:r>
    </w:p>
    <w:p w14:paraId="5EC98E8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distinction may become particularly important where information:</w:t>
      </w:r>
    </w:p>
    <w:p w14:paraId="756EBE2A" w14:textId="77777777" w:rsidR="003F00A9" w:rsidRPr="003F00A9" w:rsidRDefault="003F00A9" w:rsidP="003F00A9">
      <w:pPr>
        <w:numPr>
          <w:ilvl w:val="0"/>
          <w:numId w:val="3"/>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Was already publicly available;</w:t>
      </w:r>
    </w:p>
    <w:p w14:paraId="348256A2" w14:textId="77777777" w:rsidR="003F00A9" w:rsidRPr="003F00A9" w:rsidRDefault="003F00A9" w:rsidP="003F00A9">
      <w:pPr>
        <w:numPr>
          <w:ilvl w:val="0"/>
          <w:numId w:val="3"/>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Was independently obtained;</w:t>
      </w:r>
    </w:p>
    <w:p w14:paraId="0742449F" w14:textId="77777777" w:rsidR="003F00A9" w:rsidRPr="003F00A9" w:rsidRDefault="003F00A9" w:rsidP="003F00A9">
      <w:pPr>
        <w:numPr>
          <w:ilvl w:val="0"/>
          <w:numId w:val="3"/>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Was not communicated in the professional relationship; or</w:t>
      </w:r>
    </w:p>
    <w:p w14:paraId="144F2AFB" w14:textId="77777777" w:rsidR="003F00A9" w:rsidRPr="003F00A9" w:rsidRDefault="003F00A9" w:rsidP="003F00A9">
      <w:pPr>
        <w:numPr>
          <w:ilvl w:val="0"/>
          <w:numId w:val="3"/>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Is subject to a specific legal exception.</w:t>
      </w:r>
    </w:p>
    <w:p w14:paraId="3C30A0E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Therefore, lawyers and clients should avoid treating the judgment as a rule that </w:t>
      </w:r>
      <w:r w:rsidRPr="003F00A9">
        <w:rPr>
          <w:rFonts w:ascii="Bookman Old Style" w:eastAsia="Times New Roman" w:hAnsi="Bookman Old Style" w:cs="Times New Roman"/>
          <w:b/>
          <w:bCs/>
          <w:kern w:val="0"/>
          <w:sz w:val="20"/>
          <w:szCs w:val="20"/>
          <w:lang w:eastAsia="en-GB"/>
          <w14:ligatures w14:val="none"/>
        </w:rPr>
        <w:t>every fact associated with a client is permanently immune from disclosure in every circumstance</w:t>
      </w:r>
      <w:r w:rsidRPr="003F00A9">
        <w:rPr>
          <w:rFonts w:ascii="Bookman Old Style" w:eastAsia="Times New Roman" w:hAnsi="Bookman Old Style" w:cs="Times New Roman"/>
          <w:kern w:val="0"/>
          <w:sz w:val="20"/>
          <w:szCs w:val="20"/>
          <w:lang w:eastAsia="en-GB"/>
          <w14:ligatures w14:val="none"/>
        </w:rPr>
        <w:t>.</w:t>
      </w:r>
    </w:p>
    <w:p w14:paraId="05980FCC" w14:textId="59A7E379"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central concern is the misuse or disclosure of information obtained through the professional relationship in circumstances where the law protects that confidentiality.</w:t>
      </w:r>
    </w:p>
    <w:p w14:paraId="35A2A76D"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Why This Matters for Businesses</w:t>
      </w:r>
    </w:p>
    <w:p w14:paraId="3BFDE1C8"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decision is especially relevant to companies.</w:t>
      </w:r>
    </w:p>
    <w:p w14:paraId="15CB7FB0"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Businesses often work with external lawyers on matters involving commercially sensitive information.</w:t>
      </w:r>
    </w:p>
    <w:p w14:paraId="3AEE4819"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company may disclose information concerning:</w:t>
      </w:r>
    </w:p>
    <w:p w14:paraId="6250B3A8"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Proposed mergers and acquisitions;</w:t>
      </w:r>
    </w:p>
    <w:p w14:paraId="4D09264C"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Shareholder disputes;</w:t>
      </w:r>
    </w:p>
    <w:p w14:paraId="730F0B85"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Employment terminations;</w:t>
      </w:r>
    </w:p>
    <w:p w14:paraId="2339EC52"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Tax positions;</w:t>
      </w:r>
    </w:p>
    <w:p w14:paraId="002BDB23"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Regulatory investigations;</w:t>
      </w:r>
    </w:p>
    <w:p w14:paraId="2D827CEC"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Intellectual property;</w:t>
      </w:r>
    </w:p>
    <w:p w14:paraId="01FF2DDA"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Contract negotiations;</w:t>
      </w:r>
    </w:p>
    <w:p w14:paraId="358EA3F7"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Insolvency risks;</w:t>
      </w:r>
    </w:p>
    <w:p w14:paraId="3C35152C"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Potential litigation; and</w:t>
      </w:r>
    </w:p>
    <w:p w14:paraId="5B7A0CAE" w14:textId="77777777" w:rsidR="003F00A9" w:rsidRPr="003F00A9" w:rsidRDefault="003F00A9" w:rsidP="003F00A9">
      <w:pPr>
        <w:numPr>
          <w:ilvl w:val="0"/>
          <w:numId w:val="4"/>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Internal investigations.</w:t>
      </w:r>
    </w:p>
    <w:p w14:paraId="744544ED"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These communications can contain information that, if publicly disclosed, could cause significant commercial harm.</w:t>
      </w:r>
    </w:p>
    <w:p w14:paraId="57BBC12B" w14:textId="20B0E790"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lastRenderedPageBreak/>
        <w:t>The Supreme Court's ruling reinforces the importance of maintaining robust confidentiality practices throughout the entire life cycle of a legal engagement.</w:t>
      </w:r>
    </w:p>
    <w:p w14:paraId="58EE7592"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What Should Businesses Do When Changing Lawyers?</w:t>
      </w:r>
    </w:p>
    <w:p w14:paraId="4F2151E8"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Changing legal counsel is common.</w:t>
      </w:r>
    </w:p>
    <w:p w14:paraId="4C501263"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business may change its lawyer because of:</w:t>
      </w:r>
    </w:p>
    <w:p w14:paraId="36DE4964" w14:textId="77777777" w:rsidR="003F00A9" w:rsidRPr="003F00A9" w:rsidRDefault="003F00A9" w:rsidP="003F00A9">
      <w:pPr>
        <w:numPr>
          <w:ilvl w:val="0"/>
          <w:numId w:val="5"/>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change in strategy;</w:t>
      </w:r>
    </w:p>
    <w:p w14:paraId="08B24A9D" w14:textId="77777777" w:rsidR="003F00A9" w:rsidRPr="003F00A9" w:rsidRDefault="003F00A9" w:rsidP="003F00A9">
      <w:pPr>
        <w:numPr>
          <w:ilvl w:val="0"/>
          <w:numId w:val="5"/>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Conflict of interest;</w:t>
      </w:r>
    </w:p>
    <w:p w14:paraId="3AE50EE0" w14:textId="77777777" w:rsidR="003F00A9" w:rsidRPr="003F00A9" w:rsidRDefault="003F00A9" w:rsidP="003F00A9">
      <w:pPr>
        <w:numPr>
          <w:ilvl w:val="0"/>
          <w:numId w:val="5"/>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Cost considerations;</w:t>
      </w:r>
    </w:p>
    <w:p w14:paraId="007876CE" w14:textId="77777777" w:rsidR="003F00A9" w:rsidRPr="003F00A9" w:rsidRDefault="003F00A9" w:rsidP="003F00A9">
      <w:pPr>
        <w:numPr>
          <w:ilvl w:val="0"/>
          <w:numId w:val="5"/>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change in management;</w:t>
      </w:r>
    </w:p>
    <w:p w14:paraId="28725EA1" w14:textId="77777777" w:rsidR="003F00A9" w:rsidRPr="003F00A9" w:rsidRDefault="003F00A9" w:rsidP="003F00A9">
      <w:pPr>
        <w:numPr>
          <w:ilvl w:val="0"/>
          <w:numId w:val="5"/>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Specialist legal requirements; or</w:t>
      </w:r>
    </w:p>
    <w:p w14:paraId="46A51D42" w14:textId="77777777" w:rsidR="003F00A9" w:rsidRPr="003F00A9" w:rsidRDefault="003F00A9" w:rsidP="003F00A9">
      <w:pPr>
        <w:numPr>
          <w:ilvl w:val="0"/>
          <w:numId w:val="5"/>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Dissatisfaction with representation.</w:t>
      </w:r>
    </w:p>
    <w:p w14:paraId="476038F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end of the engagement should not be treated as the end of confidentiality.</w:t>
      </w:r>
    </w:p>
    <w:p w14:paraId="5177397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Businesses should ensure that outgoing counsel and incoming counsel clearly understand:</w:t>
      </w:r>
    </w:p>
    <w:p w14:paraId="65E59314" w14:textId="77777777" w:rsidR="003F00A9" w:rsidRPr="003F00A9" w:rsidRDefault="003F00A9" w:rsidP="003F00A9">
      <w:pPr>
        <w:pStyle w:val="ListParagraph"/>
        <w:numPr>
          <w:ilvl w:val="0"/>
          <w:numId w:val="10"/>
        </w:num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What information has been shared</w:t>
      </w:r>
    </w:p>
    <w:p w14:paraId="33484D38" w14:textId="77777777" w:rsidR="003F00A9" w:rsidRPr="003F00A9" w:rsidRDefault="003F00A9" w:rsidP="003F00A9">
      <w:pPr>
        <w:pStyle w:val="ListParagraph"/>
        <w:numPr>
          <w:ilvl w:val="0"/>
          <w:numId w:val="10"/>
        </w:num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What documents are being transferred</w:t>
      </w:r>
    </w:p>
    <w:p w14:paraId="77C726D8" w14:textId="77777777" w:rsidR="003F00A9" w:rsidRPr="003F00A9" w:rsidRDefault="003F00A9" w:rsidP="003F00A9">
      <w:pPr>
        <w:pStyle w:val="ListParagraph"/>
        <w:numPr>
          <w:ilvl w:val="0"/>
          <w:numId w:val="10"/>
        </w:num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What confidential material remains with the outgoing counsel</w:t>
      </w:r>
    </w:p>
    <w:p w14:paraId="2E2A33F1" w14:textId="77777777" w:rsidR="003F00A9" w:rsidRPr="003F00A9" w:rsidRDefault="003F00A9" w:rsidP="003F00A9">
      <w:pPr>
        <w:pStyle w:val="ListParagraph"/>
        <w:numPr>
          <w:ilvl w:val="0"/>
          <w:numId w:val="10"/>
        </w:num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What continuing obligations apply</w:t>
      </w:r>
    </w:p>
    <w:p w14:paraId="2417679D" w14:textId="77777777" w:rsidR="003F00A9" w:rsidRPr="003F00A9" w:rsidRDefault="003F00A9" w:rsidP="003F00A9">
      <w:pPr>
        <w:pStyle w:val="ListParagraph"/>
        <w:numPr>
          <w:ilvl w:val="0"/>
          <w:numId w:val="10"/>
        </w:num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How confidential electronic records will be handled</w:t>
      </w:r>
    </w:p>
    <w:p w14:paraId="5194DEA1" w14:textId="3D62B188"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This becomes particularly important when litigation or regulatory proceedings are ongoing.</w:t>
      </w:r>
    </w:p>
    <w:p w14:paraId="572D95E9"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Can Lawyers Discuss Cases in Public?</w:t>
      </w:r>
    </w:p>
    <w:p w14:paraId="0ADCFA2B"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Lawyers may participate in legitimate professional and public discourse, but the Supreme Court's judgment highlights an important boundary.</w:t>
      </w:r>
    </w:p>
    <w:p w14:paraId="5A75F406"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Public commentary should not become an avenue for disclosing confidential client communications.</w:t>
      </w:r>
    </w:p>
    <w:p w14:paraId="7A1F710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lastRenderedPageBreak/>
        <w:t>This is particularly relevant in the age of:</w:t>
      </w:r>
    </w:p>
    <w:p w14:paraId="23410EFD" w14:textId="77777777" w:rsidR="003F00A9" w:rsidRPr="003F00A9" w:rsidRDefault="003F00A9" w:rsidP="003F00A9">
      <w:pPr>
        <w:numPr>
          <w:ilvl w:val="0"/>
          <w:numId w:val="6"/>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Television debates;</w:t>
      </w:r>
    </w:p>
    <w:p w14:paraId="11E8BEC7" w14:textId="77777777" w:rsidR="003F00A9" w:rsidRPr="003F00A9" w:rsidRDefault="003F00A9" w:rsidP="003F00A9">
      <w:pPr>
        <w:numPr>
          <w:ilvl w:val="0"/>
          <w:numId w:val="6"/>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Podcasts;</w:t>
      </w:r>
    </w:p>
    <w:p w14:paraId="28EB9AFB" w14:textId="77777777" w:rsidR="003F00A9" w:rsidRPr="003F00A9" w:rsidRDefault="003F00A9" w:rsidP="003F00A9">
      <w:pPr>
        <w:numPr>
          <w:ilvl w:val="0"/>
          <w:numId w:val="6"/>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YouTube;</w:t>
      </w:r>
    </w:p>
    <w:p w14:paraId="71A55BFB" w14:textId="77777777" w:rsidR="003F00A9" w:rsidRPr="003F00A9" w:rsidRDefault="003F00A9" w:rsidP="003F00A9">
      <w:pPr>
        <w:numPr>
          <w:ilvl w:val="0"/>
          <w:numId w:val="6"/>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LinkedIn;</w:t>
      </w:r>
    </w:p>
    <w:p w14:paraId="6FC6B35A" w14:textId="77777777" w:rsidR="003F00A9" w:rsidRPr="003F00A9" w:rsidRDefault="003F00A9" w:rsidP="003F00A9">
      <w:pPr>
        <w:numPr>
          <w:ilvl w:val="0"/>
          <w:numId w:val="6"/>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X;</w:t>
      </w:r>
    </w:p>
    <w:p w14:paraId="34DB779C" w14:textId="77777777" w:rsidR="003F00A9" w:rsidRPr="003F00A9" w:rsidRDefault="003F00A9" w:rsidP="003F00A9">
      <w:pPr>
        <w:numPr>
          <w:ilvl w:val="0"/>
          <w:numId w:val="6"/>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Instagram;</w:t>
      </w:r>
    </w:p>
    <w:p w14:paraId="62887582" w14:textId="77777777" w:rsidR="003F00A9" w:rsidRPr="003F00A9" w:rsidRDefault="003F00A9" w:rsidP="003F00A9">
      <w:pPr>
        <w:numPr>
          <w:ilvl w:val="0"/>
          <w:numId w:val="6"/>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Legal commentary platforms; and</w:t>
      </w:r>
    </w:p>
    <w:p w14:paraId="2810F443" w14:textId="77777777" w:rsidR="003F00A9" w:rsidRPr="003F00A9" w:rsidRDefault="003F00A9" w:rsidP="003F00A9">
      <w:pPr>
        <w:numPr>
          <w:ilvl w:val="0"/>
          <w:numId w:val="6"/>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Other social-media channels.</w:t>
      </w:r>
    </w:p>
    <w:p w14:paraId="2D7787BB"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speed and permanence of digital publication make confidentiality breaches particularly serious.</w:t>
      </w:r>
    </w:p>
    <w:p w14:paraId="32E3F3A6" w14:textId="2BDC6C74"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Once sensitive client information enters the public domain, its consequences may be difficult or impossible to reverse.</w:t>
      </w:r>
    </w:p>
    <w:p w14:paraId="6E06F348"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What Does the Judgment Mean for Former Clients?</w:t>
      </w:r>
    </w:p>
    <w:p w14:paraId="1BAFF20B"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judgment also provides an important assurance to clients.</w:t>
      </w:r>
    </w:p>
    <w:p w14:paraId="47E53E3A"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person who has consulted an advocate should not assume that sensitive information becomes available to the lawyer for public disclosure simply because the professional relationship has ended.</w:t>
      </w:r>
    </w:p>
    <w:p w14:paraId="409113A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This reinforces the importance of the advocate–client relationship as a protected professional relationship.</w:t>
      </w:r>
    </w:p>
    <w:p w14:paraId="3C3B26C5" w14:textId="1DDE80CF"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For businesses, this is particularly valuable because legal advice frequently involves disclosure of information that is commercially sensitive even if it is not itself part of the final litigation record.</w:t>
      </w:r>
    </w:p>
    <w:p w14:paraId="444B2FA7"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Confidentiality and Legal Strategy</w:t>
      </w:r>
    </w:p>
    <w:p w14:paraId="136FFC94"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One of the most important reasons for confidentiality is that legal advice often requires clients to discuss </w:t>
      </w:r>
      <w:r w:rsidRPr="003F00A9">
        <w:rPr>
          <w:rFonts w:ascii="Bookman Old Style" w:eastAsia="Times New Roman" w:hAnsi="Bookman Old Style" w:cs="Times New Roman"/>
          <w:b/>
          <w:bCs/>
          <w:kern w:val="0"/>
          <w:sz w:val="20"/>
          <w:szCs w:val="20"/>
          <w:lang w:eastAsia="en-GB"/>
          <w14:ligatures w14:val="none"/>
        </w:rPr>
        <w:t>weaknesses as well as strengths</w:t>
      </w:r>
      <w:r w:rsidRPr="003F00A9">
        <w:rPr>
          <w:rFonts w:ascii="Bookman Old Style" w:eastAsia="Times New Roman" w:hAnsi="Bookman Old Style" w:cs="Times New Roman"/>
          <w:kern w:val="0"/>
          <w:sz w:val="20"/>
          <w:szCs w:val="20"/>
          <w:lang w:eastAsia="en-GB"/>
          <w14:ligatures w14:val="none"/>
        </w:rPr>
        <w:t>.</w:t>
      </w:r>
    </w:p>
    <w:p w14:paraId="4A396440"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company may need to tell its lawyer:</w:t>
      </w:r>
    </w:p>
    <w:p w14:paraId="16C7C4B8"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“We may have breached the contract.”</w:t>
      </w:r>
    </w:p>
    <w:p w14:paraId="08D275AD"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lastRenderedPageBreak/>
        <w:t>or:</w:t>
      </w:r>
    </w:p>
    <w:p w14:paraId="0CF9357C"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“This document could be damaging.”</w:t>
      </w:r>
    </w:p>
    <w:p w14:paraId="4F857C09"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or:</w:t>
      </w:r>
    </w:p>
    <w:p w14:paraId="4EF442A1"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“We are concerned that this employee may bring a claim.”</w:t>
      </w:r>
    </w:p>
    <w:p w14:paraId="0BAD00C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Without confidentiality, clients could hesitate to disclose such information.</w:t>
      </w:r>
    </w:p>
    <w:p w14:paraId="070336B9"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lawyer who does not know the complete factual position cannot properly assess legal risk.</w:t>
      </w:r>
    </w:p>
    <w:p w14:paraId="215710A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Confidentiality therefore supports a larger objective:</w:t>
      </w:r>
    </w:p>
    <w:p w14:paraId="1FA13A88" w14:textId="2E4D376A"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better legal advice and better access to justice.</w:t>
      </w:r>
    </w:p>
    <w:p w14:paraId="074F393E"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Confidentiality Does Not Mean Lawyers Can Ignore the Law</w:t>
      </w:r>
    </w:p>
    <w:p w14:paraId="0553BE18"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There is another important qualification.</w:t>
      </w:r>
    </w:p>
    <w:p w14:paraId="78B04587"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Confidentiality is not a mechanism through which unlawful conduct becomes immune from legal consequences.</w:t>
      </w:r>
    </w:p>
    <w:p w14:paraId="1D684FB2"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scope of privilege and confidentiality is determined by the applicable legal framework, including statutory provisions and recognised exceptions.</w:t>
      </w:r>
    </w:p>
    <w:p w14:paraId="45C618A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Accordingly, lawyers should not promise clients that </w:t>
      </w:r>
      <w:r w:rsidRPr="003F00A9">
        <w:rPr>
          <w:rFonts w:ascii="Bookman Old Style" w:eastAsia="Times New Roman" w:hAnsi="Bookman Old Style" w:cs="Times New Roman"/>
          <w:b/>
          <w:bCs/>
          <w:kern w:val="0"/>
          <w:sz w:val="20"/>
          <w:szCs w:val="20"/>
          <w:lang w:eastAsia="en-GB"/>
          <w14:ligatures w14:val="none"/>
        </w:rPr>
        <w:t>everything communicated to a lawyer is automatically protected in every conceivable situation</w:t>
      </w:r>
      <w:r w:rsidRPr="003F00A9">
        <w:rPr>
          <w:rFonts w:ascii="Bookman Old Style" w:eastAsia="Times New Roman" w:hAnsi="Bookman Old Style" w:cs="Times New Roman"/>
          <w:kern w:val="0"/>
          <w:sz w:val="20"/>
          <w:szCs w:val="20"/>
          <w:lang w:eastAsia="en-GB"/>
          <w14:ligatures w14:val="none"/>
        </w:rPr>
        <w:t>.</w:t>
      </w:r>
    </w:p>
    <w:p w14:paraId="5BADD42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Instead, clients should receive clear advice regarding:</w:t>
      </w:r>
    </w:p>
    <w:p w14:paraId="36B1C40D" w14:textId="77777777" w:rsidR="003F00A9" w:rsidRPr="003F00A9" w:rsidRDefault="003F00A9" w:rsidP="003F00A9">
      <w:pPr>
        <w:numPr>
          <w:ilvl w:val="0"/>
          <w:numId w:val="7"/>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scope of confidentiality;</w:t>
      </w:r>
    </w:p>
    <w:p w14:paraId="5CBAEA4E" w14:textId="77777777" w:rsidR="003F00A9" w:rsidRPr="003F00A9" w:rsidRDefault="003F00A9" w:rsidP="003F00A9">
      <w:pPr>
        <w:numPr>
          <w:ilvl w:val="0"/>
          <w:numId w:val="7"/>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Applicable statutory exceptions;</w:t>
      </w:r>
    </w:p>
    <w:p w14:paraId="09BBAC66" w14:textId="77777777" w:rsidR="003F00A9" w:rsidRPr="003F00A9" w:rsidRDefault="003F00A9" w:rsidP="003F00A9">
      <w:pPr>
        <w:numPr>
          <w:ilvl w:val="0"/>
          <w:numId w:val="7"/>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Conflicts of interest;</w:t>
      </w:r>
    </w:p>
    <w:p w14:paraId="7FD17468" w14:textId="77777777" w:rsidR="003F00A9" w:rsidRPr="003F00A9" w:rsidRDefault="003F00A9" w:rsidP="003F00A9">
      <w:pPr>
        <w:numPr>
          <w:ilvl w:val="0"/>
          <w:numId w:val="7"/>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Disclosure obligations;</w:t>
      </w:r>
    </w:p>
    <w:p w14:paraId="216BB231" w14:textId="77777777" w:rsidR="003F00A9" w:rsidRPr="003F00A9" w:rsidRDefault="003F00A9" w:rsidP="003F00A9">
      <w:pPr>
        <w:numPr>
          <w:ilvl w:val="0"/>
          <w:numId w:val="7"/>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Regulatory requirements; and</w:t>
      </w:r>
    </w:p>
    <w:p w14:paraId="7E247AF9" w14:textId="5BC2979E" w:rsidR="003F00A9" w:rsidRPr="003F00A9" w:rsidRDefault="003F00A9" w:rsidP="003F00A9">
      <w:pPr>
        <w:numPr>
          <w:ilvl w:val="0"/>
          <w:numId w:val="7"/>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Litigation-related disclosure.</w:t>
      </w:r>
    </w:p>
    <w:p w14:paraId="588E9253"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The Digital Age Makes the Duty Even More Important</w:t>
      </w:r>
    </w:p>
    <w:p w14:paraId="70905B5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lastRenderedPageBreak/>
        <w:t>The traditional image of confidential client information involves physical files locked inside a lawyer's office.</w:t>
      </w:r>
    </w:p>
    <w:p w14:paraId="6D0CBC4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Modern legal practice is very different.</w:t>
      </w:r>
    </w:p>
    <w:p w14:paraId="1C9F8E97"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Client information may now exist across:</w:t>
      </w:r>
    </w:p>
    <w:p w14:paraId="302E0382" w14:textId="77777777" w:rsidR="003F00A9" w:rsidRPr="003F00A9" w:rsidRDefault="003F00A9" w:rsidP="003F00A9">
      <w:pPr>
        <w:numPr>
          <w:ilvl w:val="0"/>
          <w:numId w:val="8"/>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Email systems;</w:t>
      </w:r>
    </w:p>
    <w:p w14:paraId="70496518" w14:textId="77777777" w:rsidR="003F00A9" w:rsidRPr="003F00A9" w:rsidRDefault="003F00A9" w:rsidP="003F00A9">
      <w:pPr>
        <w:numPr>
          <w:ilvl w:val="0"/>
          <w:numId w:val="8"/>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Cloud storage;</w:t>
      </w:r>
    </w:p>
    <w:p w14:paraId="4AB845E0" w14:textId="77777777" w:rsidR="003F00A9" w:rsidRPr="003F00A9" w:rsidRDefault="003F00A9" w:rsidP="003F00A9">
      <w:pPr>
        <w:numPr>
          <w:ilvl w:val="0"/>
          <w:numId w:val="8"/>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Messaging applications;</w:t>
      </w:r>
    </w:p>
    <w:p w14:paraId="1A5D7B78" w14:textId="77777777" w:rsidR="003F00A9" w:rsidRPr="003F00A9" w:rsidRDefault="003F00A9" w:rsidP="003F00A9">
      <w:pPr>
        <w:numPr>
          <w:ilvl w:val="0"/>
          <w:numId w:val="8"/>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Document-management platforms;</w:t>
      </w:r>
    </w:p>
    <w:p w14:paraId="0F565CF3" w14:textId="77777777" w:rsidR="003F00A9" w:rsidRPr="003F00A9" w:rsidRDefault="003F00A9" w:rsidP="003F00A9">
      <w:pPr>
        <w:numPr>
          <w:ilvl w:val="0"/>
          <w:numId w:val="8"/>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Video conferences;</w:t>
      </w:r>
    </w:p>
    <w:p w14:paraId="7F388C26" w14:textId="77777777" w:rsidR="003F00A9" w:rsidRPr="003F00A9" w:rsidRDefault="003F00A9" w:rsidP="003F00A9">
      <w:pPr>
        <w:numPr>
          <w:ilvl w:val="0"/>
          <w:numId w:val="8"/>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Mobile devices;</w:t>
      </w:r>
    </w:p>
    <w:p w14:paraId="37657EA6" w14:textId="77777777" w:rsidR="003F00A9" w:rsidRPr="003F00A9" w:rsidRDefault="003F00A9" w:rsidP="003F00A9">
      <w:pPr>
        <w:numPr>
          <w:ilvl w:val="0"/>
          <w:numId w:val="8"/>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AI-assisted legal tools; and</w:t>
      </w:r>
    </w:p>
    <w:p w14:paraId="4BB86EE9" w14:textId="77777777" w:rsidR="003F00A9" w:rsidRPr="003F00A9" w:rsidRDefault="003F00A9" w:rsidP="003F00A9">
      <w:pPr>
        <w:numPr>
          <w:ilvl w:val="0"/>
          <w:numId w:val="8"/>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Third-party software platforms.</w:t>
      </w:r>
    </w:p>
    <w:p w14:paraId="7D83BADB"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This creates additional risks.</w:t>
      </w:r>
    </w:p>
    <w:p w14:paraId="41A45813"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Law firms and businesses must therefore think about confidentiality not only as a </w:t>
      </w:r>
      <w:r w:rsidRPr="003F00A9">
        <w:rPr>
          <w:rFonts w:ascii="Bookman Old Style" w:eastAsia="Times New Roman" w:hAnsi="Bookman Old Style" w:cs="Times New Roman"/>
          <w:b/>
          <w:bCs/>
          <w:kern w:val="0"/>
          <w:sz w:val="20"/>
          <w:szCs w:val="20"/>
          <w:lang w:eastAsia="en-GB"/>
          <w14:ligatures w14:val="none"/>
        </w:rPr>
        <w:t>professional-ethics obligation</w:t>
      </w:r>
      <w:r w:rsidRPr="003F00A9">
        <w:rPr>
          <w:rFonts w:ascii="Bookman Old Style" w:eastAsia="Times New Roman" w:hAnsi="Bookman Old Style" w:cs="Times New Roman"/>
          <w:kern w:val="0"/>
          <w:sz w:val="20"/>
          <w:szCs w:val="20"/>
          <w:lang w:eastAsia="en-GB"/>
          <w14:ligatures w14:val="none"/>
        </w:rPr>
        <w:t xml:space="preserve">, but also as a </w:t>
      </w:r>
      <w:r w:rsidRPr="003F00A9">
        <w:rPr>
          <w:rFonts w:ascii="Bookman Old Style" w:eastAsia="Times New Roman" w:hAnsi="Bookman Old Style" w:cs="Times New Roman"/>
          <w:b/>
          <w:bCs/>
          <w:kern w:val="0"/>
          <w:sz w:val="20"/>
          <w:szCs w:val="20"/>
          <w:lang w:eastAsia="en-GB"/>
          <w14:ligatures w14:val="none"/>
        </w:rPr>
        <w:t>data-security and information-governance issue</w:t>
      </w:r>
      <w:r w:rsidRPr="003F00A9">
        <w:rPr>
          <w:rFonts w:ascii="Bookman Old Style" w:eastAsia="Times New Roman" w:hAnsi="Bookman Old Style" w:cs="Times New Roman"/>
          <w:kern w:val="0"/>
          <w:sz w:val="20"/>
          <w:szCs w:val="20"/>
          <w:lang w:eastAsia="en-GB"/>
          <w14:ligatures w14:val="none"/>
        </w:rPr>
        <w:t>.</w:t>
      </w:r>
    </w:p>
    <w:p w14:paraId="482530E8" w14:textId="4CADFB24"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confidentiality policy should ideally address both.</w:t>
      </w:r>
    </w:p>
    <w:p w14:paraId="55D210AB"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Practical Compliance Checklist for Law Firms</w:t>
      </w:r>
    </w:p>
    <w:p w14:paraId="76D64889"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Law firms can reduce confidentiality risks by maintaining clear procedures for:</w:t>
      </w:r>
    </w:p>
    <w:p w14:paraId="15A99680"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1. Client onboarding</w:t>
      </w:r>
    </w:p>
    <w:p w14:paraId="25FF612D"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Identify what categories of confidential information are likely to be received.</w:t>
      </w:r>
    </w:p>
    <w:p w14:paraId="513FC96C"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2. Document management</w:t>
      </w:r>
    </w:p>
    <w:p w14:paraId="171F186B"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Restrict access to sensitive files to authorised personnel.</w:t>
      </w:r>
    </w:p>
    <w:p w14:paraId="1EF86EBB"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3. Email and communication</w:t>
      </w:r>
    </w:p>
    <w:p w14:paraId="3BBCB5B4"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Use appropriate safeguards for transmitting confidential documents.</w:t>
      </w:r>
    </w:p>
    <w:p w14:paraId="519395F4"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lastRenderedPageBreak/>
        <w:t>4. Former clients</w:t>
      </w:r>
    </w:p>
    <w:p w14:paraId="25EC8A22"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Maintain confidentiality even after the engagement has ended.</w:t>
      </w:r>
    </w:p>
    <w:p w14:paraId="7E7C01AE"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5. Social media</w:t>
      </w:r>
    </w:p>
    <w:p w14:paraId="76596D6A"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Prohibit disclosure of identifiable client information without lawful authority.</w:t>
      </w:r>
    </w:p>
    <w:p w14:paraId="5FC7696D"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6. Staff and interns</w:t>
      </w:r>
    </w:p>
    <w:p w14:paraId="0024666C"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Ensure that confidentiality obligations extend to employees, interns and other personnel handling client information.</w:t>
      </w:r>
    </w:p>
    <w:p w14:paraId="0F79FF53"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7. Third-party platforms</w:t>
      </w:r>
    </w:p>
    <w:p w14:paraId="5644CE92"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Review the confidentiality and security implications of external software and cloud services.</w:t>
      </w:r>
    </w:p>
    <w:p w14:paraId="28B5A0D2"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8. File closure</w:t>
      </w:r>
    </w:p>
    <w:p w14:paraId="7A3DA2BD" w14:textId="77D5D34C"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Establish procedures for retention, archiving and eventual destruction of client records where legally permissible.</w:t>
      </w:r>
    </w:p>
    <w:p w14:paraId="2999199C"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What Clients Should Ask Their Lawyers</w:t>
      </w:r>
    </w:p>
    <w:p w14:paraId="71782D31"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Clients can also take practical steps.</w:t>
      </w:r>
    </w:p>
    <w:p w14:paraId="2A6AA17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Before sharing highly sensitive information, businesses should understand:</w:t>
      </w:r>
    </w:p>
    <w:p w14:paraId="57C23FCE" w14:textId="77777777" w:rsidR="003F00A9" w:rsidRPr="003F00A9" w:rsidRDefault="003F00A9" w:rsidP="003F00A9">
      <w:pPr>
        <w:numPr>
          <w:ilvl w:val="0"/>
          <w:numId w:val="9"/>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Who will have access to the information?</w:t>
      </w:r>
    </w:p>
    <w:p w14:paraId="5216A44A" w14:textId="77777777" w:rsidR="003F00A9" w:rsidRPr="003F00A9" w:rsidRDefault="003F00A9" w:rsidP="003F00A9">
      <w:pPr>
        <w:numPr>
          <w:ilvl w:val="0"/>
          <w:numId w:val="9"/>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How will documents be stored?</w:t>
      </w:r>
    </w:p>
    <w:p w14:paraId="49A99EA6" w14:textId="77777777" w:rsidR="003F00A9" w:rsidRPr="003F00A9" w:rsidRDefault="003F00A9" w:rsidP="003F00A9">
      <w:pPr>
        <w:numPr>
          <w:ilvl w:val="0"/>
          <w:numId w:val="9"/>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What communication channels will be used?</w:t>
      </w:r>
    </w:p>
    <w:p w14:paraId="0B381223" w14:textId="77777777" w:rsidR="003F00A9" w:rsidRPr="003F00A9" w:rsidRDefault="003F00A9" w:rsidP="003F00A9">
      <w:pPr>
        <w:numPr>
          <w:ilvl w:val="0"/>
          <w:numId w:val="9"/>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Will external service providers process the information?</w:t>
      </w:r>
    </w:p>
    <w:p w14:paraId="011C754D" w14:textId="77777777" w:rsidR="003F00A9" w:rsidRPr="003F00A9" w:rsidRDefault="003F00A9" w:rsidP="003F00A9">
      <w:pPr>
        <w:numPr>
          <w:ilvl w:val="0"/>
          <w:numId w:val="9"/>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How will records be handled when the engagement ends?</w:t>
      </w:r>
    </w:p>
    <w:p w14:paraId="3BCCC15F" w14:textId="77777777" w:rsidR="003F00A9" w:rsidRPr="003F00A9" w:rsidRDefault="003F00A9" w:rsidP="003F00A9">
      <w:pPr>
        <w:numPr>
          <w:ilvl w:val="0"/>
          <w:numId w:val="9"/>
        </w:num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What happens if the lawyer later becomes involved in an adverse matter?</w:t>
      </w:r>
    </w:p>
    <w:p w14:paraId="15B8295F" w14:textId="4D7BDEA5"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These questions are particularly important for businesses handling trade secrets, customer information, employee data and commercially sensitive negotiations.</w:t>
      </w:r>
    </w:p>
    <w:p w14:paraId="5517CFF7"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lastRenderedPageBreak/>
        <w:t>The Broader Principle: Trust Is Part of Legal Representation</w:t>
      </w:r>
    </w:p>
    <w:p w14:paraId="0D922840"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Supreme Court's decision reinforces something fundamental about the legal profession.</w:t>
      </w:r>
    </w:p>
    <w:p w14:paraId="3B1ED9D8"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 lawyer does not merely receive information from a client.</w:t>
      </w:r>
    </w:p>
    <w:p w14:paraId="29980EF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lawyer receives that information </w:t>
      </w:r>
      <w:r w:rsidRPr="003F00A9">
        <w:rPr>
          <w:rFonts w:ascii="Bookman Old Style" w:eastAsia="Times New Roman" w:hAnsi="Bookman Old Style" w:cs="Times New Roman"/>
          <w:b/>
          <w:bCs/>
          <w:kern w:val="0"/>
          <w:sz w:val="20"/>
          <w:szCs w:val="20"/>
          <w:lang w:eastAsia="en-GB"/>
          <w14:ligatures w14:val="none"/>
        </w:rPr>
        <w:t>because the client has entrusted it to them for the purpose of obtaining legal assistance</w:t>
      </w:r>
      <w:r w:rsidRPr="003F00A9">
        <w:rPr>
          <w:rFonts w:ascii="Bookman Old Style" w:eastAsia="Times New Roman" w:hAnsi="Bookman Old Style" w:cs="Times New Roman"/>
          <w:kern w:val="0"/>
          <w:sz w:val="20"/>
          <w:szCs w:val="20"/>
          <w:lang w:eastAsia="en-GB"/>
          <w14:ligatures w14:val="none"/>
        </w:rPr>
        <w:t>.</w:t>
      </w:r>
    </w:p>
    <w:p w14:paraId="49829E87"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That trust creates professional responsibilities.</w:t>
      </w:r>
    </w:p>
    <w:p w14:paraId="33086C7F"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relationship may eventually end.</w:t>
      </w:r>
    </w:p>
    <w:p w14:paraId="65371A9A"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case may settle.</w:t>
      </w:r>
    </w:p>
    <w:p w14:paraId="0E047751"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client may change lawyers.</w:t>
      </w:r>
    </w:p>
    <w:p w14:paraId="5C620B15"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The parties may even become adversaries.</w:t>
      </w:r>
    </w:p>
    <w:p w14:paraId="715D8231" w14:textId="5EEA4CA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But confidential information obtained during the professional relationship cannot simply be converted into a weapon against the former client.</w:t>
      </w:r>
    </w:p>
    <w:p w14:paraId="2B588AA9" w14:textId="77777777" w:rsidR="003F00A9" w:rsidRPr="003F00A9" w:rsidRDefault="003F00A9" w:rsidP="003F00A9">
      <w:pPr>
        <w:spacing w:before="100" w:beforeAutospacing="1" w:after="100" w:afterAutospacing="1" w:line="360" w:lineRule="auto"/>
        <w:jc w:val="both"/>
        <w:outlineLvl w:val="0"/>
        <w:rPr>
          <w:rFonts w:ascii="Bookman Old Style" w:eastAsia="Times New Roman" w:hAnsi="Bookman Old Style" w:cs="Times New Roman"/>
          <w:b/>
          <w:bCs/>
          <w:kern w:val="36"/>
          <w:sz w:val="20"/>
          <w:szCs w:val="20"/>
          <w:lang w:eastAsia="en-GB"/>
          <w14:ligatures w14:val="none"/>
        </w:rPr>
      </w:pPr>
      <w:r w:rsidRPr="003F00A9">
        <w:rPr>
          <w:rFonts w:ascii="Bookman Old Style" w:eastAsia="Times New Roman" w:hAnsi="Bookman Old Style" w:cs="Times New Roman"/>
          <w:b/>
          <w:bCs/>
          <w:kern w:val="36"/>
          <w:sz w:val="20"/>
          <w:szCs w:val="20"/>
          <w:lang w:eastAsia="en-GB"/>
          <w14:ligatures w14:val="none"/>
        </w:rPr>
        <w:t>Conclusion</w:t>
      </w:r>
    </w:p>
    <w:p w14:paraId="7ECC4EC8"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Supreme Court's judgment in </w:t>
      </w:r>
      <w:r w:rsidRPr="003F00A9">
        <w:rPr>
          <w:rFonts w:ascii="Bookman Old Style" w:eastAsia="Times New Roman" w:hAnsi="Bookman Old Style" w:cs="Times New Roman"/>
          <w:b/>
          <w:bCs/>
          <w:i/>
          <w:iCs/>
          <w:kern w:val="0"/>
          <w:sz w:val="20"/>
          <w:szCs w:val="20"/>
          <w:lang w:eastAsia="en-GB"/>
          <w14:ligatures w14:val="none"/>
        </w:rPr>
        <w:t>Rehana Khan v. Rizwan Siddhiquee</w:t>
      </w:r>
      <w:r w:rsidRPr="003F00A9">
        <w:rPr>
          <w:rFonts w:ascii="Bookman Old Style" w:eastAsia="Times New Roman" w:hAnsi="Bookman Old Style" w:cs="Times New Roman"/>
          <w:kern w:val="0"/>
          <w:sz w:val="20"/>
          <w:szCs w:val="20"/>
          <w:lang w:eastAsia="en-GB"/>
          <w14:ligatures w14:val="none"/>
        </w:rPr>
        <w:t xml:space="preserve"> is an important reaffirmation of professional ethics in Indian legal practice.</w:t>
      </w:r>
    </w:p>
    <w:p w14:paraId="7EF7433E" w14:textId="1E80EC68"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The Court upheld the </w:t>
      </w:r>
      <w:r w:rsidRPr="003F00A9">
        <w:rPr>
          <w:rFonts w:ascii="Bookman Old Style" w:eastAsia="Times New Roman" w:hAnsi="Bookman Old Style" w:cs="Times New Roman"/>
          <w:b/>
          <w:bCs/>
          <w:kern w:val="0"/>
          <w:sz w:val="20"/>
          <w:szCs w:val="20"/>
          <w:lang w:eastAsia="en-GB"/>
          <w14:ligatures w14:val="none"/>
        </w:rPr>
        <w:t>two-year suspension of an advocate</w:t>
      </w:r>
      <w:r w:rsidRPr="003F00A9">
        <w:rPr>
          <w:rFonts w:ascii="Bookman Old Style" w:eastAsia="Times New Roman" w:hAnsi="Bookman Old Style" w:cs="Times New Roman"/>
          <w:kern w:val="0"/>
          <w:sz w:val="20"/>
          <w:szCs w:val="20"/>
          <w:lang w:eastAsia="en-GB"/>
          <w14:ligatures w14:val="none"/>
        </w:rPr>
        <w:t xml:space="preserve"> after finding that disclosure of confidential information concerning a former client during television appearances amounted to professional misconduct. It rejected the argument that the end of the professional relationship or the client's subsequent conduct justified disclosure. </w:t>
      </w:r>
    </w:p>
    <w:p w14:paraId="6EDB93A3"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 xml:space="preserve">For advocates, the decision is a reminder that </w:t>
      </w:r>
      <w:r w:rsidRPr="003F00A9">
        <w:rPr>
          <w:rFonts w:ascii="Bookman Old Style" w:eastAsia="Times New Roman" w:hAnsi="Bookman Old Style" w:cs="Times New Roman"/>
          <w:b/>
          <w:bCs/>
          <w:kern w:val="0"/>
          <w:sz w:val="20"/>
          <w:szCs w:val="20"/>
          <w:lang w:eastAsia="en-GB"/>
          <w14:ligatures w14:val="none"/>
        </w:rPr>
        <w:t>confidentiality is a continuing professional responsibility</w:t>
      </w:r>
      <w:r w:rsidRPr="003F00A9">
        <w:rPr>
          <w:rFonts w:ascii="Bookman Old Style" w:eastAsia="Times New Roman" w:hAnsi="Bookman Old Style" w:cs="Times New Roman"/>
          <w:kern w:val="0"/>
          <w:sz w:val="20"/>
          <w:szCs w:val="20"/>
          <w:lang w:eastAsia="en-GB"/>
          <w14:ligatures w14:val="none"/>
        </w:rPr>
        <w:t>.</w:t>
      </w:r>
    </w:p>
    <w:p w14:paraId="78BBC6A1"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For clients, it reinforces the importance of being able to communicate candidly with legal counsel.</w:t>
      </w:r>
    </w:p>
    <w:p w14:paraId="56BFF66A"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lastRenderedPageBreak/>
        <w:t>For businesses, it highlights the need for proper information governance when engaging external lawyers.</w:t>
      </w:r>
    </w:p>
    <w:p w14:paraId="1D5D17F4"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And in an age where private conversations can become public within minutes, the principle is particularly relevant:</w:t>
      </w:r>
    </w:p>
    <w:p w14:paraId="3CFBB541" w14:textId="6946802E"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A client's confidence cannot become public property merely because the professional relationship has ended.</w:t>
      </w:r>
    </w:p>
    <w:p w14:paraId="1F6540DA" w14:textId="77777777" w:rsidR="003F00A9" w:rsidRPr="003F00A9" w:rsidRDefault="003F00A9" w:rsidP="003F00A9">
      <w:pPr>
        <w:spacing w:before="100" w:beforeAutospacing="1" w:after="100" w:afterAutospacing="1" w:line="360" w:lineRule="auto"/>
        <w:jc w:val="both"/>
        <w:outlineLvl w:val="2"/>
        <w:rPr>
          <w:rFonts w:ascii="Bookman Old Style" w:eastAsia="Times New Roman" w:hAnsi="Bookman Old Style" w:cs="Times New Roman"/>
          <w:b/>
          <w:bCs/>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Legal Disclaimer</w:t>
      </w:r>
    </w:p>
    <w:p w14:paraId="0A75B48E" w14:textId="77777777"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kern w:val="0"/>
          <w:sz w:val="20"/>
          <w:szCs w:val="20"/>
          <w:lang w:eastAsia="en-GB"/>
          <w14:ligatures w14:val="none"/>
        </w:rPr>
        <w:t>This article is intended solely for general legal awareness and informational purposes and does not constitute legal advice or create an advocate–client relationship. The application of professional-conduct rules, legal privilege and confidentiality obligations depends on the facts of each matter and the applicable statutory and regulatory framework.</w:t>
      </w:r>
    </w:p>
    <w:p w14:paraId="609C5864" w14:textId="24AF11EE" w:rsidR="003F00A9" w:rsidRPr="003F00A9" w:rsidRDefault="003F00A9" w:rsidP="003F00A9">
      <w:pPr>
        <w:spacing w:before="100" w:beforeAutospacing="1" w:after="100" w:afterAutospacing="1" w:line="360" w:lineRule="auto"/>
        <w:jc w:val="both"/>
        <w:rPr>
          <w:rFonts w:ascii="Bookman Old Style" w:eastAsia="Times New Roman" w:hAnsi="Bookman Old Style" w:cs="Times New Roman"/>
          <w:kern w:val="0"/>
          <w:sz w:val="20"/>
          <w:szCs w:val="20"/>
          <w:lang w:eastAsia="en-GB"/>
          <w14:ligatures w14:val="none"/>
        </w:rPr>
      </w:pPr>
      <w:r w:rsidRPr="003F00A9">
        <w:rPr>
          <w:rFonts w:ascii="Bookman Old Style" w:eastAsia="Times New Roman" w:hAnsi="Bookman Old Style" w:cs="Times New Roman"/>
          <w:b/>
          <w:bCs/>
          <w:kern w:val="0"/>
          <w:sz w:val="20"/>
          <w:szCs w:val="20"/>
          <w:lang w:eastAsia="en-GB"/>
          <w14:ligatures w14:val="none"/>
        </w:rPr>
        <w:t>Case:</w:t>
      </w:r>
      <w:r w:rsidRPr="003F00A9">
        <w:rPr>
          <w:rFonts w:ascii="Bookman Old Style" w:eastAsia="Times New Roman" w:hAnsi="Bookman Old Style" w:cs="Times New Roman"/>
          <w:kern w:val="0"/>
          <w:sz w:val="20"/>
          <w:szCs w:val="20"/>
          <w:lang w:eastAsia="en-GB"/>
          <w14:ligatures w14:val="none"/>
        </w:rPr>
        <w:t xml:space="preserve"> </w:t>
      </w:r>
      <w:r w:rsidRPr="003F00A9">
        <w:rPr>
          <w:rFonts w:ascii="Bookman Old Style" w:eastAsia="Times New Roman" w:hAnsi="Bookman Old Style" w:cs="Times New Roman"/>
          <w:i/>
          <w:iCs/>
          <w:kern w:val="0"/>
          <w:sz w:val="20"/>
          <w:szCs w:val="20"/>
          <w:lang w:eastAsia="en-GB"/>
          <w14:ligatures w14:val="none"/>
        </w:rPr>
        <w:t>Rehana Khan v. Rizwan Siddhiquee &amp; Connected Matters</w:t>
      </w:r>
      <w:r w:rsidRPr="003F00A9">
        <w:rPr>
          <w:rFonts w:ascii="Bookman Old Style" w:eastAsia="Times New Roman" w:hAnsi="Bookman Old Style" w:cs="Times New Roman"/>
          <w:kern w:val="0"/>
          <w:sz w:val="20"/>
          <w:szCs w:val="20"/>
          <w:lang w:eastAsia="en-GB"/>
          <w14:ligatures w14:val="none"/>
        </w:rPr>
        <w:t xml:space="preserve">, Civil Appeal No. 12256 of 2025 and connected matters, Supreme Court of India, decided </w:t>
      </w:r>
      <w:r w:rsidRPr="003F00A9">
        <w:rPr>
          <w:rFonts w:ascii="Bookman Old Style" w:eastAsia="Times New Roman" w:hAnsi="Bookman Old Style" w:cs="Times New Roman"/>
          <w:b/>
          <w:bCs/>
          <w:kern w:val="0"/>
          <w:sz w:val="20"/>
          <w:szCs w:val="20"/>
          <w:lang w:eastAsia="en-GB"/>
          <w14:ligatures w14:val="none"/>
        </w:rPr>
        <w:t>21 August 2026</w:t>
      </w:r>
      <w:r w:rsidRPr="003F00A9">
        <w:rPr>
          <w:rFonts w:ascii="Bookman Old Style" w:eastAsia="Times New Roman" w:hAnsi="Bookman Old Style" w:cs="Times New Roman"/>
          <w:kern w:val="0"/>
          <w:sz w:val="20"/>
          <w:szCs w:val="20"/>
          <w:lang w:eastAsia="en-GB"/>
          <w14:ligatures w14:val="none"/>
        </w:rPr>
        <w:t xml:space="preserve">; reported as </w:t>
      </w:r>
      <w:r w:rsidRPr="003F00A9">
        <w:rPr>
          <w:rFonts w:ascii="Bookman Old Style" w:eastAsia="Times New Roman" w:hAnsi="Bookman Old Style" w:cs="Times New Roman"/>
          <w:b/>
          <w:bCs/>
          <w:kern w:val="0"/>
          <w:sz w:val="20"/>
          <w:szCs w:val="20"/>
          <w:lang w:eastAsia="en-GB"/>
          <w14:ligatures w14:val="none"/>
        </w:rPr>
        <w:t>2026 INSC 907</w:t>
      </w:r>
      <w:r w:rsidRPr="003F00A9">
        <w:rPr>
          <w:rFonts w:ascii="Bookman Old Style" w:eastAsia="Times New Roman" w:hAnsi="Bookman Old Style" w:cs="Times New Roman"/>
          <w:kern w:val="0"/>
          <w:sz w:val="20"/>
          <w:szCs w:val="20"/>
          <w:lang w:eastAsia="en-GB"/>
          <w14:ligatures w14:val="none"/>
        </w:rPr>
        <w:t xml:space="preserve">. </w:t>
      </w:r>
    </w:p>
    <w:p w14:paraId="6369B982" w14:textId="77777777" w:rsidR="001916E9" w:rsidRPr="003F00A9" w:rsidRDefault="001916E9" w:rsidP="003F00A9">
      <w:pPr>
        <w:spacing w:line="360" w:lineRule="auto"/>
        <w:jc w:val="both"/>
        <w:rPr>
          <w:rFonts w:ascii="Bookman Old Style" w:hAnsi="Bookman Old Style"/>
          <w:sz w:val="20"/>
          <w:szCs w:val="20"/>
        </w:rPr>
      </w:pPr>
    </w:p>
    <w:sectPr w:rsidR="001916E9" w:rsidRPr="003F00A9" w:rsidSect="008A498A">
      <w:pgSz w:w="11906" w:h="16838"/>
      <w:pgMar w:top="1418" w:right="2268" w:bottom="1985"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400C05"/>
    <w:multiLevelType w:val="multilevel"/>
    <w:tmpl w:val="BFF8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145C4F"/>
    <w:multiLevelType w:val="multilevel"/>
    <w:tmpl w:val="2EF4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29035D"/>
    <w:multiLevelType w:val="multilevel"/>
    <w:tmpl w:val="7392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6D3768"/>
    <w:multiLevelType w:val="multilevel"/>
    <w:tmpl w:val="BCD6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EC1AC4"/>
    <w:multiLevelType w:val="multilevel"/>
    <w:tmpl w:val="08BE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7F2BF2"/>
    <w:multiLevelType w:val="multilevel"/>
    <w:tmpl w:val="5384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12262A"/>
    <w:multiLevelType w:val="multilevel"/>
    <w:tmpl w:val="C22A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F444FF"/>
    <w:multiLevelType w:val="multilevel"/>
    <w:tmpl w:val="38DC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C84BDD"/>
    <w:multiLevelType w:val="hybridMultilevel"/>
    <w:tmpl w:val="44887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EF4067"/>
    <w:multiLevelType w:val="multilevel"/>
    <w:tmpl w:val="C040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975735">
    <w:abstractNumId w:val="3"/>
  </w:num>
  <w:num w:numId="2" w16cid:durableId="1208368936">
    <w:abstractNumId w:val="5"/>
  </w:num>
  <w:num w:numId="3" w16cid:durableId="1837307714">
    <w:abstractNumId w:val="1"/>
  </w:num>
  <w:num w:numId="4" w16cid:durableId="981496347">
    <w:abstractNumId w:val="9"/>
  </w:num>
  <w:num w:numId="5" w16cid:durableId="1915503375">
    <w:abstractNumId w:val="7"/>
  </w:num>
  <w:num w:numId="6" w16cid:durableId="1755084354">
    <w:abstractNumId w:val="6"/>
  </w:num>
  <w:num w:numId="7" w16cid:durableId="61147791">
    <w:abstractNumId w:val="0"/>
  </w:num>
  <w:num w:numId="8" w16cid:durableId="299967091">
    <w:abstractNumId w:val="2"/>
  </w:num>
  <w:num w:numId="9" w16cid:durableId="823011474">
    <w:abstractNumId w:val="4"/>
  </w:num>
  <w:num w:numId="10" w16cid:durableId="144364481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0A9"/>
    <w:rsid w:val="00094BBF"/>
    <w:rsid w:val="001916E9"/>
    <w:rsid w:val="003F00A9"/>
    <w:rsid w:val="003F2DDF"/>
    <w:rsid w:val="008A498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01FA3"/>
  <w15:chartTrackingRefBased/>
  <w15:docId w15:val="{77E68ABF-8BE4-4E4E-A01C-140AEAA96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3F00A9"/>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3F00A9"/>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3F00A9"/>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3F00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00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00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0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0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0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0A9"/>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3F00A9"/>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3F00A9"/>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3F00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00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00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0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0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0A9"/>
    <w:rPr>
      <w:rFonts w:eastAsiaTheme="majorEastAsia" w:cstheme="majorBidi"/>
      <w:color w:val="272727" w:themeColor="text1" w:themeTint="D8"/>
    </w:rPr>
  </w:style>
  <w:style w:type="paragraph" w:styleId="Title">
    <w:name w:val="Title"/>
    <w:basedOn w:val="Normal"/>
    <w:next w:val="Normal"/>
    <w:link w:val="TitleChar"/>
    <w:uiPriority w:val="10"/>
    <w:qFormat/>
    <w:rsid w:val="003F00A9"/>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3F00A9"/>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3F00A9"/>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3F00A9"/>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3F00A9"/>
    <w:pPr>
      <w:spacing w:before="160"/>
      <w:jc w:val="center"/>
    </w:pPr>
    <w:rPr>
      <w:i/>
      <w:iCs/>
      <w:color w:val="404040" w:themeColor="text1" w:themeTint="BF"/>
    </w:rPr>
  </w:style>
  <w:style w:type="character" w:customStyle="1" w:styleId="QuoteChar">
    <w:name w:val="Quote Char"/>
    <w:basedOn w:val="DefaultParagraphFont"/>
    <w:link w:val="Quote"/>
    <w:uiPriority w:val="29"/>
    <w:rsid w:val="003F00A9"/>
    <w:rPr>
      <w:rFonts w:cs="Mangal"/>
      <w:i/>
      <w:iCs/>
      <w:color w:val="404040" w:themeColor="text1" w:themeTint="BF"/>
    </w:rPr>
  </w:style>
  <w:style w:type="paragraph" w:styleId="ListParagraph">
    <w:name w:val="List Paragraph"/>
    <w:basedOn w:val="Normal"/>
    <w:uiPriority w:val="34"/>
    <w:qFormat/>
    <w:rsid w:val="003F00A9"/>
    <w:pPr>
      <w:ind w:left="720"/>
      <w:contextualSpacing/>
    </w:pPr>
  </w:style>
  <w:style w:type="character" w:styleId="IntenseEmphasis">
    <w:name w:val="Intense Emphasis"/>
    <w:basedOn w:val="DefaultParagraphFont"/>
    <w:uiPriority w:val="21"/>
    <w:qFormat/>
    <w:rsid w:val="003F00A9"/>
    <w:rPr>
      <w:i/>
      <w:iCs/>
      <w:color w:val="2F5496" w:themeColor="accent1" w:themeShade="BF"/>
    </w:rPr>
  </w:style>
  <w:style w:type="paragraph" w:styleId="IntenseQuote">
    <w:name w:val="Intense Quote"/>
    <w:basedOn w:val="Normal"/>
    <w:next w:val="Normal"/>
    <w:link w:val="IntenseQuoteChar"/>
    <w:uiPriority w:val="30"/>
    <w:qFormat/>
    <w:rsid w:val="003F00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00A9"/>
    <w:rPr>
      <w:rFonts w:cs="Mangal"/>
      <w:i/>
      <w:iCs/>
      <w:color w:val="2F5496" w:themeColor="accent1" w:themeShade="BF"/>
    </w:rPr>
  </w:style>
  <w:style w:type="character" w:styleId="IntenseReference">
    <w:name w:val="Intense Reference"/>
    <w:basedOn w:val="DefaultParagraphFont"/>
    <w:uiPriority w:val="32"/>
    <w:qFormat/>
    <w:rsid w:val="003F00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2510</Words>
  <Characters>14311</Characters>
  <Application>Microsoft Office Word</Application>
  <DocSecurity>0</DocSecurity>
  <Lines>119</Lines>
  <Paragraphs>33</Paragraphs>
  <ScaleCrop>false</ScaleCrop>
  <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urvashi bharti</dc:creator>
  <cp:keywords/>
  <dc:description/>
  <cp:lastModifiedBy>urvashi bharti</cp:lastModifiedBy>
  <cp:revision>1</cp:revision>
  <dcterms:created xsi:type="dcterms:W3CDTF">2026-09-02T05:01:00Z</dcterms:created>
  <dcterms:modified xsi:type="dcterms:W3CDTF">2026-09-02T05:05:00Z</dcterms:modified>
</cp:coreProperties>
</file>